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D3AF2" w14:textId="77777777" w:rsidR="00AC38E4" w:rsidRDefault="00AC38E4" w:rsidP="00AC38E4">
      <w:pPr>
        <w:pStyle w:val="a3"/>
        <w:shd w:val="clear" w:color="auto" w:fill="FFFFFF"/>
        <w:spacing w:before="0" w:beforeAutospacing="0" w:after="0" w:afterAutospacing="0"/>
        <w:ind w:firstLine="540"/>
        <w:jc w:val="center"/>
        <w:rPr>
          <w:color w:val="000000"/>
          <w:sz w:val="30"/>
          <w:szCs w:val="30"/>
        </w:rPr>
      </w:pPr>
      <w:bookmarkStart w:id="0" w:name="_GoBack"/>
      <w:r>
        <w:rPr>
          <w:rStyle w:val="a4"/>
          <w:color w:val="000000"/>
          <w:sz w:val="30"/>
          <w:szCs w:val="30"/>
        </w:rPr>
        <w:t>Внесены изменения в </w:t>
      </w:r>
      <w:hyperlink r:id="rId4" w:history="1">
        <w:r w:rsidRPr="00720A42">
          <w:rPr>
            <w:rStyle w:val="a5"/>
            <w:b/>
            <w:bCs/>
            <w:color w:val="auto"/>
            <w:sz w:val="30"/>
            <w:szCs w:val="30"/>
            <w:u w:val="none"/>
          </w:rPr>
          <w:t>порядок</w:t>
        </w:r>
      </w:hyperlink>
      <w:r>
        <w:rPr>
          <w:rStyle w:val="a4"/>
          <w:color w:val="000000"/>
          <w:sz w:val="30"/>
          <w:szCs w:val="30"/>
        </w:rPr>
        <w:t> представления имущественного налогового вычета</w:t>
      </w:r>
    </w:p>
    <w:bookmarkEnd w:id="0"/>
    <w:p w14:paraId="20EB5080" w14:textId="77777777" w:rsidR="00AC38E4" w:rsidRDefault="00AC38E4" w:rsidP="00AC38E4">
      <w:pPr>
        <w:spacing w:after="0" w:line="240" w:lineRule="auto"/>
        <w:ind w:firstLine="540"/>
        <w:jc w:val="both"/>
        <w:rPr>
          <w:rFonts w:ascii="Times New Roman" w:hAnsi="Times New Roman" w:cs="Times New Roman"/>
          <w:sz w:val="28"/>
          <w:szCs w:val="28"/>
        </w:rPr>
      </w:pPr>
    </w:p>
    <w:p w14:paraId="7E7BF844" w14:textId="77777777" w:rsidR="00AC38E4" w:rsidRPr="00720A42" w:rsidRDefault="00AC38E4" w:rsidP="00AC38E4">
      <w:pPr>
        <w:spacing w:after="0" w:line="240" w:lineRule="auto"/>
        <w:ind w:firstLine="540"/>
        <w:jc w:val="both"/>
        <w:rPr>
          <w:rFonts w:ascii="Times New Roman" w:hAnsi="Times New Roman" w:cs="Times New Roman"/>
          <w:sz w:val="28"/>
          <w:szCs w:val="28"/>
        </w:rPr>
      </w:pPr>
      <w:r w:rsidRPr="00720A42">
        <w:rPr>
          <w:rFonts w:ascii="Times New Roman" w:hAnsi="Times New Roman" w:cs="Times New Roman"/>
          <w:sz w:val="28"/>
          <w:szCs w:val="28"/>
        </w:rPr>
        <w:t>Федеральным законом от 28.11.2025 № 425-ФЗ «О внесении изменений в часть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с 01.01.2026 в частности, </w:t>
      </w:r>
      <w:hyperlink r:id="rId5" w:history="1">
        <w:r w:rsidRPr="00720A42">
          <w:rPr>
            <w:rStyle w:val="a5"/>
            <w:rFonts w:ascii="Times New Roman" w:hAnsi="Times New Roman" w:cs="Times New Roman"/>
            <w:color w:val="auto"/>
            <w:sz w:val="28"/>
            <w:szCs w:val="28"/>
            <w:u w:val="none"/>
          </w:rPr>
          <w:t>уточнено</w:t>
        </w:r>
      </w:hyperlink>
      <w:r w:rsidRPr="00720A42">
        <w:rPr>
          <w:rFonts w:ascii="Times New Roman" w:hAnsi="Times New Roman" w:cs="Times New Roman"/>
          <w:sz w:val="28"/>
          <w:szCs w:val="28"/>
        </w:rPr>
        <w:t>, что, если при продаже жилых домов, квартир, комнат, включая приватизированные жилые помещения, садовых домов или доли (долей) в них, а также транспортных средств налогоплательщик не учитывал расходы, связанные с их приобретением, при определении налоговой базы при применении специальных налоговых режимов или в составе профессиональных налоговых вычетов, имущественный налоговый вычет предоставляется в сумме фактически произведенных и документально подтвержденных указанных расходов.</w:t>
      </w:r>
    </w:p>
    <w:p w14:paraId="74F04AA0" w14:textId="77777777" w:rsidR="00AC38E4" w:rsidRPr="00720A42" w:rsidRDefault="00AC38E4" w:rsidP="00AC38E4">
      <w:pPr>
        <w:pStyle w:val="a3"/>
        <w:shd w:val="clear" w:color="auto" w:fill="FFFFFF"/>
        <w:spacing w:before="0" w:beforeAutospacing="0" w:after="0" w:afterAutospacing="0"/>
        <w:ind w:firstLine="540"/>
        <w:jc w:val="both"/>
        <w:rPr>
          <w:sz w:val="28"/>
          <w:szCs w:val="28"/>
        </w:rPr>
      </w:pPr>
      <w:r w:rsidRPr="00720A42">
        <w:rPr>
          <w:sz w:val="28"/>
          <w:szCs w:val="28"/>
        </w:rPr>
        <w:t>При реализации долей участия в уставном капитале общества (передаче паев), полученных налогоплательщиком при реорганизации организаций, расходами на их приобретение </w:t>
      </w:r>
      <w:hyperlink r:id="rId6" w:history="1">
        <w:r w:rsidRPr="00720A42">
          <w:rPr>
            <w:rStyle w:val="a5"/>
            <w:color w:val="auto"/>
            <w:sz w:val="28"/>
            <w:szCs w:val="28"/>
            <w:u w:val="none"/>
          </w:rPr>
          <w:t>признается</w:t>
        </w:r>
      </w:hyperlink>
      <w:r w:rsidRPr="00720A42">
        <w:rPr>
          <w:sz w:val="28"/>
          <w:szCs w:val="28"/>
        </w:rPr>
        <w:t> стоимость, определяемая в соответствии с </w:t>
      </w:r>
      <w:hyperlink r:id="rId7" w:history="1">
        <w:r w:rsidRPr="00720A42">
          <w:rPr>
            <w:rStyle w:val="a5"/>
            <w:color w:val="auto"/>
            <w:sz w:val="28"/>
            <w:szCs w:val="28"/>
            <w:u w:val="none"/>
          </w:rPr>
          <w:t>пунктами 4</w:t>
        </w:r>
      </w:hyperlink>
      <w:r w:rsidRPr="00720A42">
        <w:rPr>
          <w:sz w:val="28"/>
          <w:szCs w:val="28"/>
        </w:rPr>
        <w:t> - </w:t>
      </w:r>
      <w:hyperlink r:id="rId8" w:history="1">
        <w:r w:rsidRPr="00720A42">
          <w:rPr>
            <w:rStyle w:val="a5"/>
            <w:color w:val="auto"/>
            <w:sz w:val="28"/>
            <w:szCs w:val="28"/>
            <w:u w:val="none"/>
          </w:rPr>
          <w:t>6 статьи 277</w:t>
        </w:r>
      </w:hyperlink>
      <w:r w:rsidRPr="00720A42">
        <w:rPr>
          <w:sz w:val="28"/>
          <w:szCs w:val="28"/>
        </w:rPr>
        <w:t> НК РФ, при условии документального подтверждения расходов на приобретение акций (долей участия в уставном капитале, паев) реорганизуемых организаций. Указанный порядок также применяется при выходе из состава участников созданного при реорганизации общества, при получении денежных средств, иного имущества (имущественных прав) акционером (участником, пайщиком) созданной при реорганизации организации в случае ее ликвидации, при уменьшении номинальной стоимости доли участия в уставном капитале созданного при реорганизации общества.</w:t>
      </w:r>
    </w:p>
    <w:p w14:paraId="416BDB21" w14:textId="77777777" w:rsidR="00AC38E4" w:rsidRPr="00720A42" w:rsidRDefault="00AC38E4" w:rsidP="00AC38E4">
      <w:pPr>
        <w:pStyle w:val="a3"/>
        <w:shd w:val="clear" w:color="auto" w:fill="FFFFFF"/>
        <w:spacing w:before="0" w:beforeAutospacing="0" w:after="0" w:afterAutospacing="0"/>
        <w:ind w:firstLine="540"/>
        <w:jc w:val="both"/>
        <w:rPr>
          <w:sz w:val="28"/>
          <w:szCs w:val="28"/>
        </w:rPr>
      </w:pPr>
      <w:r w:rsidRPr="00720A42">
        <w:rPr>
          <w:sz w:val="28"/>
          <w:szCs w:val="28"/>
        </w:rPr>
        <w:t>При продаже (в том числе по договору мены) имущества (за исключением ценных бумаг), полученного в качестве погашения обязательства, налогоплательщик </w:t>
      </w:r>
      <w:hyperlink r:id="rId9" w:history="1">
        <w:r w:rsidRPr="00720A42">
          <w:rPr>
            <w:rStyle w:val="a5"/>
            <w:color w:val="auto"/>
            <w:sz w:val="28"/>
            <w:szCs w:val="28"/>
            <w:u w:val="none"/>
          </w:rPr>
          <w:t>вправе</w:t>
        </w:r>
      </w:hyperlink>
      <w:r w:rsidRPr="00720A42">
        <w:rPr>
          <w:sz w:val="28"/>
          <w:szCs w:val="28"/>
        </w:rPr>
        <w:t> уменьшить полученные доходы на стоимость такого имущества, которая признавалась доходом в налоговом периоде, в котором оно было получено, и с которой был исчислен и уплачен налог.</w:t>
      </w:r>
    </w:p>
    <w:p w14:paraId="61C25654" w14:textId="77777777" w:rsidR="00AC38E4" w:rsidRPr="00720A42" w:rsidRDefault="00AC38E4" w:rsidP="00AC38E4">
      <w:pPr>
        <w:spacing w:after="0" w:line="240" w:lineRule="auto"/>
        <w:jc w:val="both"/>
        <w:rPr>
          <w:rFonts w:ascii="Times New Roman" w:hAnsi="Times New Roman" w:cs="Times New Roman"/>
          <w:sz w:val="28"/>
          <w:szCs w:val="28"/>
        </w:rPr>
      </w:pPr>
    </w:p>
    <w:p w14:paraId="7776D072" w14:textId="77777777" w:rsidR="00AC38E4" w:rsidRDefault="00AC38E4" w:rsidP="00AC38E4">
      <w:pPr>
        <w:spacing w:after="0" w:line="240" w:lineRule="auto"/>
        <w:jc w:val="both"/>
      </w:pPr>
    </w:p>
    <w:p w14:paraId="24278FE4" w14:textId="77777777" w:rsidR="00AC38E4" w:rsidRDefault="00AC38E4" w:rsidP="00AC38E4">
      <w:pPr>
        <w:spacing w:after="0" w:line="240" w:lineRule="auto"/>
        <w:jc w:val="both"/>
      </w:pPr>
    </w:p>
    <w:p w14:paraId="1AA98C9B" w14:textId="77777777" w:rsidR="00FC099B" w:rsidRDefault="00AC38E4"/>
    <w:sectPr w:rsidR="00FC0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86"/>
    <w:rsid w:val="004B163F"/>
    <w:rsid w:val="007036E1"/>
    <w:rsid w:val="00825D86"/>
    <w:rsid w:val="00AC3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A7239-8379-484D-8D91-9CCE5F8B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38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38E4"/>
    <w:rPr>
      <w:b/>
      <w:bCs/>
    </w:rPr>
  </w:style>
  <w:style w:type="character" w:styleId="a5">
    <w:name w:val="Hyperlink"/>
    <w:basedOn w:val="a0"/>
    <w:uiPriority w:val="99"/>
    <w:semiHidden/>
    <w:unhideWhenUsed/>
    <w:rsid w:val="00AC3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2525/29b72e48a23cb09affc6e3c602f0fe9877998ab2/" TargetMode="External"/><Relationship Id="rId3" Type="http://schemas.openxmlformats.org/officeDocument/2006/relationships/webSettings" Target="webSettings.xml"/><Relationship Id="rId7" Type="http://schemas.openxmlformats.org/officeDocument/2006/relationships/hyperlink" Target="https://www.consultant.ru/document/cons_doc_LAW_522525/29b72e48a23cb09affc6e3c602f0fe9877998a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522525/29b72e48a23cb09affc6e3c602f0fe9877998ab2/" TargetMode="External"/><Relationship Id="rId11" Type="http://schemas.openxmlformats.org/officeDocument/2006/relationships/theme" Target="theme/theme1.xml"/><Relationship Id="rId5" Type="http://schemas.openxmlformats.org/officeDocument/2006/relationships/hyperlink" Target="https://www.consultant.ru/document/cons_doc_LAW_522525/29b72e48a23cb09affc6e3c602f0fe9877998ab2/" TargetMode="External"/><Relationship Id="rId10" Type="http://schemas.openxmlformats.org/officeDocument/2006/relationships/fontTable" Target="fontTable.xml"/><Relationship Id="rId4" Type="http://schemas.openxmlformats.org/officeDocument/2006/relationships/hyperlink" Target="https://www.consultant.ru/document/cons_doc_LAW_522525/29b72e48a23cb09affc6e3c602f0fe9877998ab2/" TargetMode="External"/><Relationship Id="rId9" Type="http://schemas.openxmlformats.org/officeDocument/2006/relationships/hyperlink" Target="https://www.consultant.ru/document/cons_doc_LAW_522525/29b72e48a23cb09affc6e3c602f0fe9877998a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2026-04-26T12:49:00Z</dcterms:created>
  <dcterms:modified xsi:type="dcterms:W3CDTF">2026-04-26T12:49:00Z</dcterms:modified>
</cp:coreProperties>
</file>